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6452A4">
        <w:rPr>
          <w:b w:val="0"/>
          <w:color w:val="000099"/>
          <w:sz w:val="24"/>
        </w:rPr>
        <w:t>307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</w:t>
      </w:r>
      <w:r w:rsidR="006452A4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CF5FC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EB2476">
        <w:rPr>
          <w:b w:val="0"/>
          <w:color w:val="000099"/>
          <w:sz w:val="24"/>
        </w:rPr>
        <w:t>1</w:t>
      </w:r>
      <w:r w:rsidR="006452A4">
        <w:rPr>
          <w:b w:val="0"/>
          <w:color w:val="000099"/>
          <w:sz w:val="24"/>
        </w:rPr>
        <w:t>1699</w:t>
      </w:r>
      <w:r w:rsidR="00EB2476">
        <w:rPr>
          <w:b w:val="0"/>
          <w:color w:val="000099"/>
          <w:sz w:val="24"/>
        </w:rPr>
        <w:t>-</w:t>
      </w:r>
      <w:r w:rsidR="006452A4">
        <w:rPr>
          <w:b w:val="0"/>
          <w:color w:val="000099"/>
          <w:sz w:val="24"/>
        </w:rPr>
        <w:t>56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04 феврал</w:t>
      </w:r>
      <w:r w:rsidR="00EB2476">
        <w:rPr>
          <w:color w:val="000099"/>
          <w:sz w:val="28"/>
          <w:szCs w:val="28"/>
        </w:rPr>
        <w:t>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Эгамова Шавката Ахмадовича, </w:t>
      </w:r>
      <w:r w:rsidRPr="00437C44" w:rsidR="00437C44">
        <w:rPr>
          <w:color w:val="000099"/>
          <w:sz w:val="28"/>
          <w:szCs w:val="28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CF5FC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06</w:t>
      </w:r>
      <w:r w:rsidR="000030B1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16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2</w:t>
      </w:r>
      <w:r w:rsidR="00CF5FC4">
        <w:rPr>
          <w:color w:val="000099"/>
          <w:sz w:val="28"/>
          <w:szCs w:val="28"/>
        </w:rPr>
        <w:t>5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 w:rsidR="002B5D47">
        <w:rPr>
          <w:color w:val="000099"/>
          <w:sz w:val="28"/>
          <w:szCs w:val="28"/>
        </w:rPr>
        <w:t>62</w:t>
      </w:r>
      <w:r w:rsidR="00A82131">
        <w:rPr>
          <w:color w:val="000099"/>
          <w:sz w:val="28"/>
          <w:szCs w:val="28"/>
        </w:rPr>
        <w:t xml:space="preserve"> км. а/д </w:t>
      </w:r>
      <w:r w:rsidR="002B5D47">
        <w:rPr>
          <w:color w:val="000099"/>
          <w:sz w:val="28"/>
          <w:szCs w:val="28"/>
        </w:rPr>
        <w:t>Сургут</w:t>
      </w:r>
      <w:r w:rsidR="00CF5FC4">
        <w:rPr>
          <w:color w:val="000099"/>
          <w:sz w:val="28"/>
          <w:szCs w:val="28"/>
        </w:rPr>
        <w:t xml:space="preserve"> – </w:t>
      </w:r>
      <w:r w:rsidR="002B5D47">
        <w:rPr>
          <w:color w:val="000099"/>
          <w:sz w:val="28"/>
          <w:szCs w:val="28"/>
        </w:rPr>
        <w:t>Нижневартовск</w:t>
      </w:r>
      <w:r w:rsidR="00CF5FC4">
        <w:rPr>
          <w:color w:val="000099"/>
          <w:sz w:val="28"/>
          <w:szCs w:val="28"/>
        </w:rPr>
        <w:t xml:space="preserve"> </w:t>
      </w:r>
      <w:r w:rsidR="002B5D47">
        <w:rPr>
          <w:color w:val="000099"/>
          <w:sz w:val="28"/>
          <w:szCs w:val="28"/>
        </w:rPr>
        <w:t>Сургутского</w:t>
      </w:r>
      <w:r w:rsidR="00CF5FC4">
        <w:rPr>
          <w:color w:val="000099"/>
          <w:sz w:val="28"/>
          <w:szCs w:val="28"/>
        </w:rPr>
        <w:t xml:space="preserve"> района </w:t>
      </w:r>
      <w:r w:rsidR="002B5D47">
        <w:rPr>
          <w:color w:val="000099"/>
          <w:sz w:val="28"/>
          <w:szCs w:val="28"/>
        </w:rPr>
        <w:t>Эгамов Ш.А</w:t>
      </w:r>
      <w:r w:rsidR="00CF5FC4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437C44" w:rsidR="00437C44">
        <w:rPr>
          <w:color w:val="000099"/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437C44" w:rsidR="00437C44">
        <w:rPr>
          <w:color w:val="000099"/>
          <w:sz w:val="28"/>
          <w:szCs w:val="28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Эгамов Ш.А. </w:t>
      </w:r>
      <w:r w:rsidRPr="00806406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>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 xml:space="preserve">Также суду представлены рапорт сотрудника полиции, </w:t>
      </w:r>
      <w:r w:rsidR="002B5D47">
        <w:rPr>
          <w:color w:val="000099"/>
          <w:sz w:val="28"/>
          <w:szCs w:val="28"/>
        </w:rPr>
        <w:t xml:space="preserve">объяснения лица, привлекаемого к административной ответственности, свидетеля, </w:t>
      </w:r>
      <w:r w:rsidRPr="00485675">
        <w:rPr>
          <w:color w:val="000099"/>
          <w:sz w:val="28"/>
          <w:szCs w:val="28"/>
        </w:rPr>
        <w:t>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2B5D47">
        <w:rPr>
          <w:color w:val="000099"/>
          <w:sz w:val="28"/>
          <w:szCs w:val="28"/>
        </w:rPr>
        <w:t>Эгамова Шавката Ахмадовича</w:t>
      </w:r>
      <w:r w:rsidRPr="00584241" w:rsidR="002B5D47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Эгамова Шавката Ахмадовича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</w:t>
      </w:r>
      <w:r w:rsidR="002B5D47">
        <w:rPr>
          <w:sz w:val="28"/>
          <w:szCs w:val="28"/>
        </w:rPr>
        <w:t>6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EB2476">
        <w:rPr>
          <w:color w:val="C00000"/>
          <w:sz w:val="28"/>
          <w:szCs w:val="28"/>
        </w:rPr>
        <w:t>5</w:t>
      </w:r>
      <w:r w:rsidR="007C4EEE">
        <w:rPr>
          <w:color w:val="C00000"/>
          <w:sz w:val="28"/>
          <w:szCs w:val="28"/>
        </w:rPr>
        <w:t>0</w:t>
      </w:r>
      <w:r w:rsidR="002B5D47">
        <w:rPr>
          <w:color w:val="C00000"/>
          <w:sz w:val="28"/>
          <w:szCs w:val="28"/>
        </w:rPr>
        <w:t>7</w:t>
      </w:r>
      <w:r w:rsidRPr="00904630">
        <w:rPr>
          <w:color w:val="C00000"/>
          <w:sz w:val="28"/>
          <w:szCs w:val="28"/>
        </w:rPr>
        <w:t xml:space="preserve"> </w:t>
      </w:r>
      <w:r w:rsidR="002B5D47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00 </w:t>
      </w:r>
      <w:r w:rsidR="00CF5FC4">
        <w:rPr>
          <w:color w:val="C00000"/>
          <w:sz w:val="28"/>
          <w:szCs w:val="28"/>
        </w:rPr>
        <w:t>1</w:t>
      </w:r>
      <w:r w:rsidR="002B5D47">
        <w:rPr>
          <w:color w:val="C00000"/>
          <w:sz w:val="28"/>
          <w:szCs w:val="28"/>
        </w:rPr>
        <w:t>7267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437C44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44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B5D47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5CA3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37C44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452A4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0DEE"/>
    <w:rsid w:val="007F28A2"/>
    <w:rsid w:val="00803BF5"/>
    <w:rsid w:val="00806406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5FC4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